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24" w:rsidRPr="00C25324" w:rsidRDefault="00C25324" w:rsidP="00C2532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C25324" w:rsidRPr="00C25324" w:rsidRDefault="00C25324" w:rsidP="00C2532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C25324" w:rsidRPr="00C25324" w:rsidRDefault="00C25324" w:rsidP="00C2532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C2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КУЙТУНСКИЙ  РАЙОН</w:t>
      </w:r>
      <w:proofErr w:type="gramEnd"/>
    </w:p>
    <w:p w:rsidR="00C25324" w:rsidRPr="00C25324" w:rsidRDefault="00C25324" w:rsidP="00C2532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C25324" w:rsidRPr="00C25324" w:rsidRDefault="007B692C" w:rsidP="00C25324">
      <w:pPr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НОВОТЕЛЬБИНСКОГО</w:t>
      </w:r>
      <w:r w:rsidR="00C25324" w:rsidRPr="00C2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МУНИЦИПАЛЬНОГО</w:t>
      </w:r>
      <w:proofErr w:type="gramEnd"/>
      <w:r w:rsidR="00C25324" w:rsidRPr="00C2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ОБРАЗОВАНИЯ</w:t>
      </w:r>
    </w:p>
    <w:p w:rsidR="00C25324" w:rsidRPr="00C25324" w:rsidRDefault="00C25324" w:rsidP="00C253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5324" w:rsidRPr="00C25324" w:rsidRDefault="00C25324" w:rsidP="00C2532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C25324" w:rsidRPr="00C25324" w:rsidRDefault="00C25324" w:rsidP="00C2532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24" w:rsidRPr="00C25324" w:rsidRDefault="00C25324" w:rsidP="00C253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25324">
        <w:rPr>
          <w:rFonts w:ascii="Times New Roman" w:eastAsia="Times New Roman" w:hAnsi="Times New Roman" w:cs="Times New Roman"/>
          <w:sz w:val="24"/>
          <w:szCs w:val="24"/>
          <w:lang w:eastAsia="ru-RU"/>
        </w:rPr>
        <w:t>« _</w:t>
      </w:r>
      <w:proofErr w:type="gramEnd"/>
      <w:r w:rsidRPr="00C25324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284E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</w:t>
      </w:r>
      <w:r w:rsidR="00B00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</w:t>
      </w:r>
      <w:r w:rsidRPr="00C25324">
        <w:rPr>
          <w:rFonts w:ascii="Times New Roman" w:eastAsia="Times New Roman" w:hAnsi="Times New Roman" w:cs="Times New Roman"/>
          <w:sz w:val="24"/>
          <w:szCs w:val="24"/>
          <w:lang w:eastAsia="ru-RU"/>
        </w:rPr>
        <w:t>___»___</w:t>
      </w:r>
      <w:r w:rsidR="003C6550" w:rsidRPr="007B6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11</w:t>
      </w:r>
      <w:r w:rsidRPr="00C253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7B69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2020</w:t>
      </w:r>
      <w:r w:rsidRPr="00C2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                  </w:t>
      </w:r>
      <w:r w:rsidR="007B692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2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B692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Новая Тельба</w:t>
      </w:r>
      <w:r w:rsidRPr="00C25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№ __</w:t>
      </w:r>
      <w:r w:rsidR="007B692C" w:rsidRPr="00B00A5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31</w:t>
      </w:r>
      <w:r w:rsidRPr="00C2532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C25324" w:rsidRPr="00C25324" w:rsidRDefault="00C25324" w:rsidP="00C2532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25324" w:rsidRPr="00C25324" w:rsidRDefault="00C25324" w:rsidP="00C2532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324" w:rsidRPr="003819E7" w:rsidRDefault="00C25324" w:rsidP="00C253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bookmarkStart w:id="0" w:name="_GoBack"/>
      <w:r w:rsidRPr="00381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 утверждении муниципальной программы </w:t>
      </w:r>
    </w:p>
    <w:p w:rsidR="00C25324" w:rsidRPr="003819E7" w:rsidRDefault="00C25324" w:rsidP="00C25324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81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«Охрана окружающей среды на территории </w:t>
      </w:r>
    </w:p>
    <w:p w:rsidR="00C25324" w:rsidRPr="00C25324" w:rsidRDefault="007B692C" w:rsidP="00C253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Новотельбинского</w:t>
      </w:r>
      <w:r w:rsidR="00C25324" w:rsidRPr="003819E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 образования на 2021 - 2023 годы»</w:t>
      </w:r>
    </w:p>
    <w:bookmarkEnd w:id="0"/>
    <w:p w:rsidR="00C25324" w:rsidRPr="00C25324" w:rsidRDefault="00C25324" w:rsidP="00C2532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7B69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обеспечения устойчивого экологического развития </w:t>
      </w:r>
      <w:r w:rsidR="007B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Новотельбинского</w:t>
      </w:r>
      <w:r w:rsidRPr="0038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муниципального образования 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области охраны окружающей среды и природопользования, в соответствии Федерального закона от 06.10.2003г. № 131-ФЗ «Об общих принципах организации местного самоуправления в Российской Федерации», руководствуясь Уставом </w:t>
      </w:r>
      <w:r w:rsidR="007B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Новотельбинского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образования: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ПОСТАНОВЛЯЮ: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Утвердить муниципальную программу «Охрана окружающей среды на территории </w:t>
      </w:r>
      <w:r w:rsidR="007B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Новотельбинского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</w:t>
      </w:r>
      <w:r w:rsidRPr="0038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Pr="0038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- 202</w:t>
      </w:r>
      <w:r w:rsidRPr="0038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годы», согласно приложению к настоящему постановлению.</w:t>
      </w:r>
    </w:p>
    <w:p w:rsidR="00C25324" w:rsidRPr="00C25324" w:rsidRDefault="00C25324" w:rsidP="007D3E02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317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Настоящее </w:t>
      </w:r>
      <w:proofErr w:type="gramStart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  подлежит</w:t>
      </w:r>
      <w:proofErr w:type="gram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официальному  опубликованию на официальном сайте администрации </w:t>
      </w:r>
      <w:r w:rsidR="007B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Новотельбинского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сельского поселения.</w:t>
      </w:r>
    </w:p>
    <w:p w:rsidR="00C25324" w:rsidRPr="00C25324" w:rsidRDefault="00C25324" w:rsidP="007D3E02">
      <w:pPr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after="0" w:line="317" w:lineRule="atLeast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Контроль за исполнением настоящего постановления оставляю за собой.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Глава </w:t>
      </w:r>
      <w:r w:rsidR="007B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Новотельбинского</w:t>
      </w:r>
    </w:p>
    <w:p w:rsidR="00C25324" w:rsidRPr="00C25324" w:rsidRDefault="00C25324" w:rsidP="00C2532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                                                                       </w:t>
      </w:r>
      <w:r w:rsidR="007B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А.П.Шашлов</w:t>
      </w:r>
    </w:p>
    <w:p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D3E02" w:rsidRPr="003819E7" w:rsidRDefault="007D3E02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E02" w:rsidRPr="003819E7" w:rsidRDefault="007D3E02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E02" w:rsidRPr="003819E7" w:rsidRDefault="007D3E02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D3E02" w:rsidRPr="003819E7" w:rsidRDefault="007D3E02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7D3E0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                           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C25324" w:rsidRPr="00C25324" w:rsidRDefault="00C25324" w:rsidP="007D3E0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Постановлением администрации </w:t>
      </w:r>
      <w:r w:rsidR="007B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Новотельбинского</w:t>
      </w:r>
    </w:p>
    <w:p w:rsidR="00C25324" w:rsidRPr="003819E7" w:rsidRDefault="00C25324" w:rsidP="007D3E0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7D3E02" w:rsidRPr="00C25324" w:rsidRDefault="007D3E02" w:rsidP="007D3E0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324" w:rsidRPr="00C25324" w:rsidRDefault="00C25324" w:rsidP="007D3E02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="000C6CC0" w:rsidRPr="0038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="007D3E02" w:rsidRPr="0038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от 20.11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 №</w:t>
      </w:r>
      <w:r w:rsidRPr="008718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8718A2" w:rsidRPr="008718A2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25324" w:rsidRPr="00C25324" w:rsidRDefault="000C6CC0" w:rsidP="00C2532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8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C25324"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униципальн</w:t>
      </w:r>
      <w:r w:rsidRPr="0038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ая</w:t>
      </w:r>
      <w:r w:rsidR="00C25324"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программ</w:t>
      </w:r>
      <w:r w:rsidRPr="0038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</w:t>
      </w:r>
      <w:r w:rsidR="00C25324"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«Охрана окружающей среды на территории </w:t>
      </w:r>
      <w:proofErr w:type="gramStart"/>
      <w:r w:rsidR="007B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Новотельбинского</w:t>
      </w:r>
      <w:r w:rsidR="00C25324"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муниципального</w:t>
      </w:r>
      <w:proofErr w:type="gramEnd"/>
      <w:r w:rsidR="00C25324"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 на 202</w:t>
      </w:r>
      <w:r w:rsidRPr="0038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25324"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- 202</w:t>
      </w:r>
      <w:r w:rsidRPr="0038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C25324"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</w:t>
      </w:r>
    </w:p>
    <w:p w:rsidR="00C25324" w:rsidRPr="00C25324" w:rsidRDefault="00C25324" w:rsidP="00C2532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Паспорт программы «Охрана окружающей среды на территории </w:t>
      </w:r>
      <w:proofErr w:type="gramStart"/>
      <w:r w:rsidR="007B692C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Новотельбинского</w:t>
      </w: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 муниципального</w:t>
      </w:r>
      <w:proofErr w:type="gramEnd"/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образования на 202</w:t>
      </w:r>
      <w:r w:rsidR="000C6CC0" w:rsidRPr="003819E7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1 - 2023</w:t>
      </w: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годы» (далее - программа)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02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6605"/>
      </w:tblGrid>
      <w:tr w:rsidR="00C25324" w:rsidRPr="00C25324" w:rsidTr="00FA1F56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sub_1058"/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 программы</w:t>
            </w:r>
            <w:bookmarkEnd w:id="1"/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324" w:rsidRPr="00C25324" w:rsidRDefault="00C25324" w:rsidP="000C6CC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окружающей среды на территории </w:t>
            </w:r>
            <w:r w:rsid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</w:t>
            </w: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 образования  на 202</w:t>
            </w:r>
            <w:r w:rsidR="000C6CC0" w:rsidRPr="0038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1 - 2023</w:t>
            </w: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25324" w:rsidRPr="00C25324" w:rsidTr="00FA1F56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 программы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324" w:rsidRPr="00C25324" w:rsidRDefault="00C25324" w:rsidP="00C25324">
            <w:pPr>
              <w:spacing w:before="100" w:after="10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 </w:t>
            </w:r>
            <w:r w:rsid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</w:t>
            </w: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сельского поселения</w:t>
            </w:r>
          </w:p>
        </w:tc>
      </w:tr>
      <w:tr w:rsidR="00C25324" w:rsidRPr="00C25324" w:rsidTr="00FA1F56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 программы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324" w:rsidRPr="00C25324" w:rsidRDefault="00C25324" w:rsidP="000C6CC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Предотвращение вредного воздействия отходов на здоровье человека и окружающую среду на территории </w:t>
            </w:r>
            <w:r w:rsid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</w:t>
            </w:r>
            <w:r w:rsidR="000C6CC0" w:rsidRPr="0038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муниципального образования</w:t>
            </w:r>
          </w:p>
        </w:tc>
      </w:tr>
      <w:tr w:rsidR="00C25324" w:rsidRPr="00C25324" w:rsidTr="00FA1F56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Задача программы</w:t>
            </w:r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негативного влияния отходов на состояние окружающей среды.</w:t>
            </w:r>
          </w:p>
        </w:tc>
      </w:tr>
      <w:tr w:rsidR="00C25324" w:rsidRPr="00C25324" w:rsidTr="00FA1F56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" w:name="sub_1059"/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  <w:bookmarkEnd w:id="2"/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324" w:rsidRPr="00C25324" w:rsidRDefault="00C25324" w:rsidP="000C6CC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CC0" w:rsidRPr="0038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- 202</w:t>
            </w:r>
            <w:r w:rsidR="000C6CC0" w:rsidRPr="003819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C25324" w:rsidRPr="00C25324" w:rsidTr="00FA1F56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sub_2508"/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показатели программы</w:t>
            </w:r>
            <w:bookmarkEnd w:id="3"/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324" w:rsidRPr="00C25324" w:rsidRDefault="00C25324" w:rsidP="000C6CC0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ликвидация  несанкционированных свалок на всей территории </w:t>
            </w:r>
            <w:r w:rsid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Новотельбинского</w:t>
            </w: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муниципального образования </w:t>
            </w:r>
          </w:p>
        </w:tc>
      </w:tr>
      <w:tr w:rsidR="00C25324" w:rsidRPr="00C25324" w:rsidTr="00FA1F56">
        <w:trPr>
          <w:jc w:val="center"/>
        </w:trPr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sub_2511"/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Прогнозная (справочная) оценка ресурсного обеспечения реализации программы</w:t>
            </w:r>
            <w:bookmarkEnd w:id="4"/>
          </w:p>
        </w:tc>
        <w:tc>
          <w:tcPr>
            <w:tcW w:w="6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25324" w:rsidRPr="00C25324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Общий объем финансирования по годам реализации составляет:</w:t>
            </w:r>
          </w:p>
          <w:p w:rsidR="00C25324" w:rsidRPr="007B692C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CC0"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– </w:t>
            </w:r>
            <w:r w:rsidR="007B692C"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,00 тыс. рублей;</w:t>
            </w:r>
          </w:p>
          <w:p w:rsidR="00C25324" w:rsidRPr="007B692C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CC0"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– </w:t>
            </w:r>
            <w:r w:rsidR="007B692C"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рублей;</w:t>
            </w:r>
          </w:p>
          <w:p w:rsidR="00C25324" w:rsidRPr="007B692C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CC0"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– </w:t>
            </w:r>
            <w:r w:rsidR="007B692C"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рублей.</w:t>
            </w:r>
          </w:p>
          <w:p w:rsidR="00C25324" w:rsidRPr="007B692C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за счет средств областного бюджета по годам реализации составляет:</w:t>
            </w:r>
          </w:p>
          <w:p w:rsidR="00C25324" w:rsidRPr="007B692C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CC0"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– </w:t>
            </w:r>
            <w:r w:rsidR="007B692C"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рублей;</w:t>
            </w:r>
          </w:p>
          <w:p w:rsidR="00C25324" w:rsidRPr="007B692C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CC0"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– </w:t>
            </w:r>
            <w:r w:rsidR="007B692C"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рублей;</w:t>
            </w:r>
          </w:p>
          <w:p w:rsidR="00C25324" w:rsidRPr="007B692C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CC0"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– </w:t>
            </w:r>
            <w:r w:rsidR="007B692C"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рублей.</w:t>
            </w:r>
          </w:p>
          <w:p w:rsidR="00C25324" w:rsidRPr="007B692C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финансирования за счет средств местного бюджета по годам реализации составляет:</w:t>
            </w:r>
          </w:p>
          <w:p w:rsidR="00C25324" w:rsidRPr="007B692C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CC0"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– </w:t>
            </w:r>
            <w:r w:rsidR="007B692C"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100,00</w:t>
            </w: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рублей;</w:t>
            </w:r>
          </w:p>
          <w:p w:rsidR="00C25324" w:rsidRPr="007B692C" w:rsidRDefault="00C25324" w:rsidP="00C25324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CC0"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7B692C"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– 0,00</w:t>
            </w: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рублей;</w:t>
            </w:r>
          </w:p>
          <w:p w:rsidR="00C25324" w:rsidRPr="00C25324" w:rsidRDefault="00C25324" w:rsidP="007B692C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 w:rsidR="000C6CC0"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год – </w:t>
            </w:r>
            <w:r w:rsidR="007B692C"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  <w:r w:rsidRPr="007B69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тыс. руб.</w:t>
            </w:r>
          </w:p>
        </w:tc>
      </w:tr>
    </w:tbl>
    <w:p w:rsidR="00C25324" w:rsidRPr="00C25324" w:rsidRDefault="00C25324" w:rsidP="00C25324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1. Цель и задачи программы, целевые показатели программы, сроки реализации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Целью программы является предотвращение вредного воздействия отходов на здоровье человека и окружающую среду на территории </w:t>
      </w:r>
      <w:proofErr w:type="gramStart"/>
      <w:r w:rsidR="007B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Новотельбинского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муниципального</w:t>
      </w:r>
      <w:proofErr w:type="gram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образования. В рамках достижения цели программы необходимо обеспечить решение задачи по снижению негативного влияния отходов на состояние окружающей среды.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Основной целевой показатель решения данной цели является </w:t>
      </w:r>
      <w:proofErr w:type="gramStart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  несанкционированных</w:t>
      </w:r>
      <w:proofErr w:type="gram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свалок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Выполнению поставленной задачи могут мешать риски, сложившиеся под воздействием негативных факторов и имеющихся в обществе социально-экономических проблем. К внешним рискам относятся: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макроэкономические риски - снижение темпов роста экономики области, инфляционные процессы;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финансовые риски - недостаточность финансирования из областного бюджета;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правовые риски - изменение федерального и регионального законодательства, регулирующего отношения в области охраны окружающей среды.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изменения федерального и (или) регионального законодательства, регулирующего отношения в области охраны окружающей среды, значения показателей программы подлежат корректировке в соответствии с изменениями законодательства.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sub_1060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 года (2020 - 2022 годы), реализация планируется в один этап. Решение проблем в области охраны окружающей среды невозможно осуществить в пределах одного финансового года, поскольку предусматривается реализация долгосрочных мероприятий.</w:t>
      </w:r>
      <w:bookmarkEnd w:id="5"/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экологической безопасности </w:t>
      </w:r>
      <w:proofErr w:type="gramStart"/>
      <w:r w:rsidR="007B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Новотельбинского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муниципального</w:t>
      </w:r>
      <w:proofErr w:type="gram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необходимо поэтапное сокращение уровней воздействия на окружающую среду всех антропогенных источников. Комплексное решение проблем охраны окружающей среды возможно только при проведении мероприятий для снижения воздействия во всех природных средах.</w:t>
      </w:r>
    </w:p>
    <w:p w:rsidR="00C25324" w:rsidRPr="00C25324" w:rsidRDefault="00C25324" w:rsidP="00C25324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2. Основные мероприятия программы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sub_8202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состоит из основного мероприятия</w:t>
      </w:r>
      <w:bookmarkEnd w:id="6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снижение негативного влияния отходов на состояние окружающей среды.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sub_8205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основного мероприятия осуществляется посредством:</w:t>
      </w:r>
      <w:bookmarkEnd w:id="7"/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заключения в установленном законодательством порядке муниципальных контрактов на поставку товаров, выполнение работ и оказание услуг для муниципальных нужд в соответствии с </w:t>
      </w:r>
      <w:hyperlink r:id="rId5" w:history="1">
        <w:r w:rsidRPr="00C253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5 апреля 2013 года N 44-ФЗ «О контрактной системе в сфере закупок товаров, работ, услуг для обеспечения государственных и муниципальных нужд»;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sub_8209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предоставления субсидий из областного бюджета местным бюджетам в целях </w:t>
      </w:r>
      <w:proofErr w:type="spellStart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 </w:t>
      </w:r>
      <w:proofErr w:type="spellStart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мероприятий по сбору, транспортированию и утилизации (захоронению) твердых коммунальных отходов с несанкционированных мест размещения отходов.</w:t>
      </w:r>
      <w:bookmarkEnd w:id="8"/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основного мероприятия «Снижение негативного влияния отходов на состояние окружающей среды» будут </w:t>
      </w:r>
      <w:r w:rsidR="000C6CC0" w:rsidRPr="0038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ыполнено мероприятие </w:t>
      </w:r>
      <w:proofErr w:type="gramStart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ликвидация  несанкционированных</w:t>
      </w:r>
      <w:proofErr w:type="gram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свалок.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3. Меры государственного регулирования, направленные на достижение цели и задач программы</w:t>
      </w:r>
    </w:p>
    <w:p w:rsidR="00C25324" w:rsidRPr="00C25324" w:rsidRDefault="00C25324" w:rsidP="00C25324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меры государственного регулирования программы закреплены в </w:t>
      </w:r>
      <w:hyperlink r:id="rId6" w:history="1">
        <w:r w:rsidRPr="00C253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Конституции</w:t>
        </w:r>
      </w:hyperlink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Федерации, </w:t>
      </w:r>
      <w:hyperlink r:id="rId7" w:history="1">
        <w:r w:rsidRPr="00C253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Федеральном законе</w:t>
        </w:r>
      </w:hyperlink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Российской Федерации от 24 июня 1998 года N 89-ФЗ «Об отходах производства и потребления», </w:t>
      </w:r>
      <w:hyperlink r:id="rId8" w:history="1">
        <w:r w:rsidRPr="00C253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Федеральном законе</w:t>
        </w:r>
      </w:hyperlink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 10 января 2002 года N 7-ФЗ «Об охране окружающей среды», </w:t>
      </w:r>
      <w:hyperlink r:id="rId9" w:history="1">
        <w:r w:rsidRPr="00C253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Положении</w:t>
        </w:r>
      </w:hyperlink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 предоставлении субсидий из областного бюджета местным бюджетам в целях </w:t>
      </w:r>
      <w:proofErr w:type="spellStart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 на реализацию мероприятий по сбору, транспортированию и утилизацию (захоронению) твердых коммунальных отходов с несанкционированных мест размещения отходов, утвержденным </w:t>
      </w:r>
      <w:hyperlink r:id="rId10" w:history="1">
        <w:r w:rsidRPr="00C253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постановлением</w:t>
        </w:r>
      </w:hyperlink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Правительства Иркутской области от 06 сентября 2019 года N 741-пп, </w:t>
      </w:r>
      <w:hyperlink r:id="rId11" w:history="1">
        <w:r w:rsidRPr="00C253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Уставе</w:t>
        </w:r>
      </w:hyperlink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7B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Новотельбинского</w:t>
      </w:r>
      <w:r w:rsidR="000C6CC0" w:rsidRPr="0038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муниципального образования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25324" w:rsidRPr="00C25324" w:rsidRDefault="00C25324" w:rsidP="00C25324">
      <w:pPr>
        <w:spacing w:after="0" w:line="240" w:lineRule="auto"/>
        <w:ind w:firstLine="42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lastRenderedPageBreak/>
        <w:t>Раздел 4. Ресурсное обеспечение программы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sub_841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Финансирование программы осуществляется за счет средств областного и местного бюджетов в соответствии с законом Иркутской области об областном бюджете на очередной финансовый год и плановый период и решением Думы </w:t>
      </w:r>
      <w:proofErr w:type="gramStart"/>
      <w:r w:rsidR="007B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Новотельбинского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муниципального</w:t>
      </w:r>
      <w:proofErr w:type="gram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</w:t>
      </w:r>
      <w:r w:rsidR="000C6CC0" w:rsidRPr="0038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местном бюджете на очередной финансовый год и плановый период.</w:t>
      </w:r>
      <w:bookmarkEnd w:id="9"/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Объемы финансирования программы ежегодно уточняются при формировании областного и местного бюджетов на соответствующий финансовый год и плановый период исходя из возможностей областного и местного бюджетов и затрат, необходимых для реализации программы.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Прогнозная (справочная) оценка ресурсного обеспечения реализации программы за счет всех источников финансирования указана в приложении 1 к программе.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0" w:name="sub_871"/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5. Сведения об участии муниципальных образований Иркутской области в реализации программы</w:t>
      </w:r>
      <w:bookmarkEnd w:id="10"/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условия предоставления и расходования субсидий местным бюджетам из областного бюджета, критерии отбора муниципальных образований Иркутской области для предоставления указанных субсидий и их распределение между муниципальными образованиями Иркутской области устанавливаются </w:t>
      </w:r>
      <w:bookmarkStart w:id="11" w:name="sub_89000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Положением о предоставлении субсидий из областного бюджета местным бюджетам в целях </w:t>
      </w:r>
      <w:proofErr w:type="spellStart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расходных обязательств муниципальных образований Иркутской области на реализацию мероприятий по сбору, транспортированию и утилизацию (захоронению) твердых коммунальных отходов с несанкционированных мест размещения отходов, утвержденным постановлением Правительства Иркутской области от 06 сентября 2019 года N 741-пп</w:t>
      </w:r>
      <w:bookmarkEnd w:id="11"/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Раздел 6. Сведения об участии организаций, включая данные о прогнозных расходах указанных организаций на реализацию программы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организаций в реализации мероприятий программы не планируется.</w:t>
      </w:r>
    </w:p>
    <w:p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C6CC0" w:rsidRPr="003819E7" w:rsidRDefault="000C6CC0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CC0" w:rsidRPr="003819E7" w:rsidRDefault="000C6CC0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CC0" w:rsidRPr="003819E7" w:rsidRDefault="000C6CC0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CC0" w:rsidRPr="003819E7" w:rsidRDefault="000C6CC0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6CC0" w:rsidRPr="003819E7" w:rsidRDefault="000C6CC0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E7" w:rsidRDefault="003819E7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E7" w:rsidRDefault="003819E7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E7" w:rsidRDefault="003819E7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E7" w:rsidRDefault="003819E7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E7" w:rsidRDefault="003819E7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E7" w:rsidRDefault="003819E7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E7" w:rsidRDefault="003819E7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E7" w:rsidRDefault="003819E7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92C" w:rsidRDefault="007B692C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92C" w:rsidRDefault="007B692C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92C" w:rsidRDefault="007B692C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B692C" w:rsidRDefault="007B692C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E7" w:rsidRDefault="003819E7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819E7" w:rsidRDefault="003819E7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 № 1</w:t>
      </w:r>
    </w:p>
    <w:p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hyperlink r:id="rId12" w:anchor="sub_999102" w:history="1">
        <w:r w:rsidRPr="00C25324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программе</w:t>
        </w:r>
      </w:hyperlink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«Охрана окружающей среды на</w:t>
      </w:r>
    </w:p>
    <w:p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территории </w:t>
      </w:r>
      <w:r w:rsidR="007B6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Новотельбинского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муниципального образования</w:t>
      </w:r>
    </w:p>
    <w:p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202</w:t>
      </w:r>
      <w:r w:rsidR="000C6CC0" w:rsidRPr="0038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</w:t>
      </w:r>
      <w:r w:rsidR="000C6CC0" w:rsidRPr="003819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годы»</w:t>
      </w:r>
    </w:p>
    <w:p w:rsidR="00C25324" w:rsidRPr="00C25324" w:rsidRDefault="00C25324" w:rsidP="00C25324">
      <w:pPr>
        <w:spacing w:after="0" w:line="240" w:lineRule="auto"/>
        <w:ind w:firstLine="42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25324" w:rsidRPr="00C25324" w:rsidRDefault="00C25324" w:rsidP="00C25324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Перечень мероприятий муниципальной программы «Охрана окружающей среды на территории </w:t>
      </w:r>
      <w:proofErr w:type="gramStart"/>
      <w:r w:rsidR="007B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Новотельбинского</w:t>
      </w:r>
      <w:r w:rsidR="0038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муниципального</w:t>
      </w:r>
      <w:proofErr w:type="gramEnd"/>
      <w:r w:rsidR="003819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образования </w:t>
      </w:r>
      <w:r w:rsidR="007B692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 2021 - 2023</w:t>
      </w:r>
      <w:r w:rsidRPr="00C253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годы». Прогнозная (справочная) оценка ресурсного обеспечения.</w:t>
      </w:r>
    </w:p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9253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4"/>
        <w:gridCol w:w="1426"/>
        <w:gridCol w:w="1661"/>
        <w:gridCol w:w="1661"/>
        <w:gridCol w:w="1111"/>
      </w:tblGrid>
      <w:tr w:rsidR="00C25324" w:rsidRPr="00C25324" w:rsidTr="000C6CC0">
        <w:trPr>
          <w:jc w:val="center"/>
        </w:trPr>
        <w:tc>
          <w:tcPr>
            <w:tcW w:w="339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C25324" w:rsidRDefault="00C25324" w:rsidP="00C25324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C25324" w:rsidRDefault="00C25324" w:rsidP="000C6C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Срок исполнения, год</w:t>
            </w:r>
          </w:p>
        </w:tc>
        <w:tc>
          <w:tcPr>
            <w:tcW w:w="44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C25324" w:rsidRDefault="00C25324" w:rsidP="00C25324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Объем финансирования, тыс. руб.</w:t>
            </w:r>
          </w:p>
        </w:tc>
      </w:tr>
      <w:tr w:rsidR="00C25324" w:rsidRPr="00C25324" w:rsidTr="000C6CC0">
        <w:trPr>
          <w:jc w:val="center"/>
        </w:trPr>
        <w:tc>
          <w:tcPr>
            <w:tcW w:w="3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24" w:rsidRPr="00C25324" w:rsidRDefault="00C25324" w:rsidP="00C2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24" w:rsidRPr="00C25324" w:rsidRDefault="00C25324" w:rsidP="00C2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C25324" w:rsidRDefault="00C25324" w:rsidP="000C6CC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C25324" w:rsidRDefault="00C25324" w:rsidP="00C25324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Из них:</w:t>
            </w:r>
          </w:p>
        </w:tc>
      </w:tr>
      <w:tr w:rsidR="00C25324" w:rsidRPr="00C25324" w:rsidTr="000C6CC0">
        <w:trPr>
          <w:jc w:val="center"/>
        </w:trPr>
        <w:tc>
          <w:tcPr>
            <w:tcW w:w="339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24" w:rsidRPr="00C25324" w:rsidRDefault="00C25324" w:rsidP="00C2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24" w:rsidRPr="00C25324" w:rsidRDefault="00C25324" w:rsidP="00C2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25324" w:rsidRPr="00C25324" w:rsidRDefault="00C25324" w:rsidP="00C253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C25324" w:rsidRDefault="00C25324" w:rsidP="000C6CC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Средства областного бюджета</w:t>
            </w: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C25324" w:rsidRDefault="00C25324" w:rsidP="000C6CC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Средства местного бюджета</w:t>
            </w:r>
          </w:p>
        </w:tc>
      </w:tr>
      <w:tr w:rsidR="00C25324" w:rsidRPr="00C25324" w:rsidTr="000C6CC0">
        <w:trPr>
          <w:jc w:val="center"/>
        </w:trPr>
        <w:tc>
          <w:tcPr>
            <w:tcW w:w="9253" w:type="dxa"/>
            <w:gridSpan w:val="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C25324" w:rsidRDefault="00C25324" w:rsidP="00C25324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Основное мероприятие «Снижение негативного влияния отходов на состояние окружающей среды»</w:t>
            </w:r>
          </w:p>
        </w:tc>
      </w:tr>
      <w:tr w:rsidR="00C25324" w:rsidRPr="00C25324" w:rsidTr="007B692C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C25324" w:rsidRDefault="00C25324" w:rsidP="000C6C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  <w:t>ликвидация  несанкционированных свалок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7B692C" w:rsidRDefault="00C25324" w:rsidP="00C25324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B69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202</w:t>
            </w:r>
            <w:r w:rsidR="007B692C" w:rsidRPr="007B69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1</w:t>
            </w:r>
          </w:p>
          <w:p w:rsidR="00C25324" w:rsidRPr="007B692C" w:rsidRDefault="00C25324" w:rsidP="00C25324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7B69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202</w:t>
            </w:r>
            <w:r w:rsidR="007B692C" w:rsidRPr="007B69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</w:t>
            </w:r>
          </w:p>
          <w:p w:rsidR="00C25324" w:rsidRPr="00C25324" w:rsidRDefault="00C25324" w:rsidP="007B692C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7B69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202</w:t>
            </w:r>
            <w:r w:rsidR="007B692C" w:rsidRPr="007B692C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5324" w:rsidRPr="00C25324" w:rsidRDefault="00C25324" w:rsidP="00C25324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5324" w:rsidRPr="00C25324" w:rsidRDefault="00C25324" w:rsidP="00C25324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5324" w:rsidRPr="00C25324" w:rsidRDefault="00C25324" w:rsidP="00C25324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</w:p>
        </w:tc>
      </w:tr>
      <w:tr w:rsidR="00C25324" w:rsidRPr="00C25324" w:rsidTr="007B692C">
        <w:trPr>
          <w:jc w:val="center"/>
        </w:trPr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C25324" w:rsidRDefault="00C25324" w:rsidP="00C25324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  <w:hideMark/>
          </w:tcPr>
          <w:p w:rsidR="00C25324" w:rsidRPr="00C25324" w:rsidRDefault="00C25324" w:rsidP="00C25324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  <w:r w:rsidRPr="00C25324">
              <w:rPr>
                <w:rFonts w:ascii="Times New Roman" w:eastAsia="Times New Roman" w:hAnsi="Times New Roman" w:cs="Times New Roman"/>
                <w:color w:val="FF0000"/>
                <w:kern w:val="3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5324" w:rsidRPr="00C25324" w:rsidRDefault="00C25324" w:rsidP="00C25324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6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5324" w:rsidRPr="00C25324" w:rsidRDefault="00C25324" w:rsidP="00C25324">
            <w:pPr>
              <w:spacing w:after="0" w:line="240" w:lineRule="auto"/>
              <w:ind w:firstLine="567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vAlign w:val="center"/>
          </w:tcPr>
          <w:p w:rsidR="00C25324" w:rsidRPr="00C25324" w:rsidRDefault="00C25324" w:rsidP="00C25324">
            <w:pPr>
              <w:spacing w:after="0" w:line="240" w:lineRule="auto"/>
              <w:ind w:firstLine="426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FF0000"/>
                <w:kern w:val="36"/>
                <w:sz w:val="24"/>
                <w:szCs w:val="24"/>
                <w:lang w:eastAsia="ru-RU"/>
              </w:rPr>
            </w:pPr>
          </w:p>
        </w:tc>
      </w:tr>
    </w:tbl>
    <w:p w:rsidR="00C25324" w:rsidRPr="00C25324" w:rsidRDefault="00C25324" w:rsidP="00C2532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53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8552E" w:rsidRPr="003819E7" w:rsidRDefault="0098552E">
      <w:pPr>
        <w:rPr>
          <w:rFonts w:ascii="Times New Roman" w:hAnsi="Times New Roman" w:cs="Times New Roman"/>
          <w:sz w:val="24"/>
          <w:szCs w:val="24"/>
        </w:rPr>
      </w:pPr>
    </w:p>
    <w:sectPr w:rsidR="0098552E" w:rsidRPr="003819E7" w:rsidSect="00C2532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4446A3"/>
    <w:multiLevelType w:val="multilevel"/>
    <w:tmpl w:val="353C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A2"/>
    <w:rsid w:val="000C6CC0"/>
    <w:rsid w:val="00284ED3"/>
    <w:rsid w:val="002A0F67"/>
    <w:rsid w:val="003819E7"/>
    <w:rsid w:val="003C6550"/>
    <w:rsid w:val="007B692C"/>
    <w:rsid w:val="007D3E02"/>
    <w:rsid w:val="00837DA2"/>
    <w:rsid w:val="008718A2"/>
    <w:rsid w:val="0098552E"/>
    <w:rsid w:val="00B00A51"/>
    <w:rsid w:val="00C2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DFD4E"/>
  <w15:chartTrackingRefBased/>
  <w15:docId w15:val="{C6EDCD8F-93CC-47D9-924F-261C4C71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0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00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-search.minjust.ru/bigs/showDocument.html?id=171924BC-9B16-4441-AE8D-7953B8880AA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/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1439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2020-11-25T04:14:00Z</cp:lastPrinted>
  <dcterms:created xsi:type="dcterms:W3CDTF">2020-11-24T02:43:00Z</dcterms:created>
  <dcterms:modified xsi:type="dcterms:W3CDTF">2020-12-09T02:57:00Z</dcterms:modified>
</cp:coreProperties>
</file>