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89" w:rsidRPr="00A31D89" w:rsidRDefault="00A31D89" w:rsidP="00A31D89">
      <w:pPr>
        <w:jc w:val="center"/>
        <w:rPr>
          <w:rFonts w:ascii="Times New Roman" w:hAnsi="Times New Roman"/>
        </w:rPr>
      </w:pP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>НОВОТЕЛЬБИНСКОГО МУНИЦИПАЛЬНОГО ОБРАЗОВАНИЯ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>ГЛАВА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D8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31D89" w:rsidRPr="00A31D89" w:rsidRDefault="00A31D89" w:rsidP="00A3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1D89">
        <w:rPr>
          <w:rFonts w:ascii="Times New Roman" w:hAnsi="Times New Roman"/>
          <w:sz w:val="24"/>
          <w:szCs w:val="24"/>
        </w:rPr>
        <w:t>«21» декабря 2016 г.                         п. Новая Тельба                                № 10</w:t>
      </w:r>
      <w:r>
        <w:rPr>
          <w:rFonts w:ascii="Times New Roman" w:hAnsi="Times New Roman"/>
          <w:sz w:val="24"/>
          <w:szCs w:val="24"/>
        </w:rPr>
        <w:t>9</w:t>
      </w:r>
    </w:p>
    <w:p w:rsidR="00A31D89" w:rsidRPr="00A31D89" w:rsidRDefault="00A31D89" w:rsidP="00A31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AC5" w:rsidRPr="00332C87" w:rsidRDefault="00A31D89" w:rsidP="00A31D89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  <w:rPr>
          <w:b/>
          <w:spacing w:val="2"/>
        </w:rPr>
      </w:pPr>
      <w:r w:rsidRPr="00332C87">
        <w:rPr>
          <w:b/>
          <w:spacing w:val="2"/>
        </w:rPr>
        <w:t xml:space="preserve"> </w:t>
      </w:r>
      <w:r w:rsidR="00ED6AC5" w:rsidRPr="00332C87">
        <w:rPr>
          <w:b/>
          <w:spacing w:val="2"/>
        </w:rPr>
        <w:t xml:space="preserve">«О порядке проведения и критериях оценки эффективности </w:t>
      </w:r>
    </w:p>
    <w:p w:rsidR="00ED6AC5" w:rsidRPr="00332C87" w:rsidRDefault="00ED6AC5" w:rsidP="00ED6AC5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  <w:rPr>
          <w:b/>
          <w:spacing w:val="2"/>
        </w:rPr>
      </w:pPr>
      <w:r w:rsidRPr="00332C87">
        <w:rPr>
          <w:b/>
          <w:spacing w:val="2"/>
        </w:rPr>
        <w:t xml:space="preserve">реализации муниципальных программ </w:t>
      </w:r>
    </w:p>
    <w:p w:rsidR="00ED6AC5" w:rsidRPr="00332C87" w:rsidRDefault="00A31D89" w:rsidP="00ED6AC5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  <w:rPr>
          <w:b/>
          <w:spacing w:val="2"/>
        </w:rPr>
      </w:pPr>
      <w:r>
        <w:rPr>
          <w:b/>
          <w:spacing w:val="2"/>
        </w:rPr>
        <w:t>Новотельбин</w:t>
      </w:r>
      <w:r w:rsidR="00ED6AC5" w:rsidRPr="00332C87">
        <w:rPr>
          <w:b/>
          <w:spacing w:val="2"/>
        </w:rPr>
        <w:t>ского муниципального образования»</w:t>
      </w:r>
    </w:p>
    <w:p w:rsidR="00ED6AC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D6AC5" w:rsidRPr="007269D2" w:rsidRDefault="00ED6AC5" w:rsidP="00ED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9D2">
        <w:rPr>
          <w:rFonts w:ascii="Times New Roman" w:hAnsi="Times New Roman"/>
          <w:spacing w:val="2"/>
          <w:sz w:val="24"/>
          <w:szCs w:val="24"/>
        </w:rPr>
        <w:t>В соответствии со статьей 179</w:t>
      </w:r>
      <w:r w:rsidRPr="007269D2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r w:rsidRPr="007269D2">
        <w:rPr>
          <w:rFonts w:ascii="Times New Roman" w:hAnsi="Times New Roman"/>
          <w:spacing w:val="2"/>
          <w:sz w:val="24"/>
          <w:szCs w:val="24"/>
        </w:rPr>
        <w:t xml:space="preserve">Бюджетного кодекса Российской Федерации, Постановлением № 50 от </w:t>
      </w:r>
      <w:r>
        <w:rPr>
          <w:rFonts w:ascii="Times New Roman" w:hAnsi="Times New Roman"/>
          <w:sz w:val="24"/>
          <w:szCs w:val="24"/>
        </w:rPr>
        <w:t>2.06.</w:t>
      </w:r>
      <w:r w:rsidRPr="007269D2">
        <w:rPr>
          <w:rFonts w:ascii="Times New Roman" w:hAnsi="Times New Roman"/>
          <w:sz w:val="24"/>
          <w:szCs w:val="24"/>
        </w:rPr>
        <w:t xml:space="preserve">2015 года </w:t>
      </w:r>
      <w:r w:rsidRPr="007269D2">
        <w:rPr>
          <w:rFonts w:ascii="Times New Roman" w:hAnsi="Times New Roman"/>
          <w:spacing w:val="2"/>
          <w:sz w:val="24"/>
          <w:szCs w:val="24"/>
        </w:rPr>
        <w:t xml:space="preserve">«Об утверждении Положения о порядке принятия решений о разработке муниципальных программ </w:t>
      </w:r>
      <w:r w:rsidR="00A31D89">
        <w:rPr>
          <w:rFonts w:ascii="Times New Roman" w:hAnsi="Times New Roman"/>
          <w:spacing w:val="2"/>
          <w:sz w:val="24"/>
          <w:szCs w:val="24"/>
        </w:rPr>
        <w:t>Новотельбин</w:t>
      </w:r>
      <w:r>
        <w:rPr>
          <w:rFonts w:ascii="Times New Roman" w:hAnsi="Times New Roman"/>
          <w:spacing w:val="2"/>
          <w:sz w:val="24"/>
          <w:szCs w:val="24"/>
        </w:rPr>
        <w:t>ского</w:t>
      </w:r>
      <w:r w:rsidRPr="007269D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1D89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и </w:t>
      </w:r>
      <w:proofErr w:type="gramStart"/>
      <w:r w:rsidR="00A31D89">
        <w:rPr>
          <w:rFonts w:ascii="Times New Roman" w:hAnsi="Times New Roman"/>
          <w:spacing w:val="2"/>
          <w:sz w:val="24"/>
          <w:szCs w:val="24"/>
        </w:rPr>
        <w:t xml:space="preserve">их </w:t>
      </w:r>
      <w:r w:rsidRPr="007269D2">
        <w:rPr>
          <w:rFonts w:ascii="Times New Roman" w:hAnsi="Times New Roman"/>
          <w:spacing w:val="2"/>
          <w:sz w:val="24"/>
          <w:szCs w:val="24"/>
        </w:rPr>
        <w:t>формирования</w:t>
      </w:r>
      <w:proofErr w:type="gramEnd"/>
      <w:r w:rsidRPr="007269D2">
        <w:rPr>
          <w:rFonts w:ascii="Times New Roman" w:hAnsi="Times New Roman"/>
          <w:spacing w:val="2"/>
          <w:sz w:val="24"/>
          <w:szCs w:val="24"/>
        </w:rPr>
        <w:t xml:space="preserve"> и реализации», руководствуясь Уставом </w:t>
      </w:r>
      <w:r w:rsidR="00A31D89">
        <w:rPr>
          <w:rFonts w:ascii="Times New Roman" w:hAnsi="Times New Roman"/>
          <w:spacing w:val="2"/>
          <w:sz w:val="24"/>
          <w:szCs w:val="24"/>
        </w:rPr>
        <w:t>Новотельбин</w:t>
      </w:r>
      <w:r>
        <w:rPr>
          <w:rFonts w:ascii="Times New Roman" w:hAnsi="Times New Roman"/>
          <w:spacing w:val="2"/>
          <w:sz w:val="24"/>
          <w:szCs w:val="24"/>
        </w:rPr>
        <w:t>ского</w:t>
      </w:r>
      <w:r w:rsidRPr="007269D2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</w:t>
      </w:r>
    </w:p>
    <w:p w:rsidR="00ED6AC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D6AC5" w:rsidRPr="00332C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332C87">
        <w:rPr>
          <w:b/>
          <w:spacing w:val="2"/>
        </w:rPr>
        <w:t>ПОСТАНОВЛЯЮ:</w:t>
      </w:r>
    </w:p>
    <w:p w:rsidR="00ED6AC5" w:rsidRPr="00073DF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73DF5">
        <w:rPr>
          <w:spacing w:val="2"/>
        </w:rPr>
        <w:t xml:space="preserve">1. </w:t>
      </w:r>
      <w:r>
        <w:rPr>
          <w:spacing w:val="2"/>
        </w:rPr>
        <w:t>Утвердит</w:t>
      </w:r>
      <w:r w:rsidRPr="00073DF5">
        <w:rPr>
          <w:spacing w:val="2"/>
        </w:rPr>
        <w:t>ь:</w:t>
      </w:r>
    </w:p>
    <w:p w:rsidR="00ED6AC5" w:rsidRPr="00073DF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73DF5">
        <w:rPr>
          <w:spacing w:val="2"/>
        </w:rPr>
        <w:t xml:space="preserve">1) Порядок проведения оценки эффективности реализации муниципальных программ </w:t>
      </w:r>
      <w:r w:rsidR="00A31D89">
        <w:rPr>
          <w:spacing w:val="2"/>
        </w:rPr>
        <w:t>Новотельбин</w:t>
      </w:r>
      <w:r>
        <w:rPr>
          <w:spacing w:val="2"/>
        </w:rPr>
        <w:t>ского</w:t>
      </w:r>
      <w:r w:rsidRPr="00073DF5">
        <w:rPr>
          <w:spacing w:val="2"/>
        </w:rPr>
        <w:t xml:space="preserve"> муниципального образования (прилагается);</w:t>
      </w:r>
    </w:p>
    <w:p w:rsidR="00ED6AC5" w:rsidRPr="00073DF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73DF5">
        <w:rPr>
          <w:spacing w:val="2"/>
        </w:rPr>
        <w:t xml:space="preserve">2) Критерии оценки эффективности реализации муниципальных программ </w:t>
      </w:r>
      <w:r w:rsidR="00A31D89">
        <w:rPr>
          <w:spacing w:val="2"/>
        </w:rPr>
        <w:t>Новотельбин</w:t>
      </w:r>
      <w:r>
        <w:rPr>
          <w:spacing w:val="2"/>
        </w:rPr>
        <w:t>ского</w:t>
      </w:r>
      <w:r w:rsidRPr="00073DF5">
        <w:rPr>
          <w:spacing w:val="2"/>
        </w:rPr>
        <w:t xml:space="preserve"> муниципального образования (прилагаются).</w:t>
      </w:r>
    </w:p>
    <w:p w:rsidR="00ED6AC5" w:rsidRPr="00073DF5" w:rsidRDefault="00ED6AC5" w:rsidP="00ED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DF5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</w:t>
      </w:r>
      <w:r>
        <w:rPr>
          <w:rFonts w:ascii="Times New Roman" w:hAnsi="Times New Roman"/>
          <w:sz w:val="24"/>
          <w:szCs w:val="24"/>
        </w:rPr>
        <w:t>«</w:t>
      </w:r>
      <w:r w:rsidRPr="00073DF5">
        <w:rPr>
          <w:rFonts w:ascii="Times New Roman" w:hAnsi="Times New Roman"/>
          <w:sz w:val="24"/>
          <w:szCs w:val="24"/>
        </w:rPr>
        <w:t>Муниципальном вестнике</w:t>
      </w:r>
      <w:r>
        <w:rPr>
          <w:rFonts w:ascii="Times New Roman" w:hAnsi="Times New Roman"/>
          <w:sz w:val="24"/>
          <w:szCs w:val="24"/>
        </w:rPr>
        <w:t>»</w:t>
      </w:r>
      <w:r w:rsidRPr="00073DF5">
        <w:rPr>
          <w:rFonts w:ascii="Times New Roman" w:hAnsi="Times New Roman"/>
          <w:sz w:val="24"/>
          <w:szCs w:val="24"/>
        </w:rPr>
        <w:t xml:space="preserve"> </w:t>
      </w:r>
      <w:r w:rsidR="00A31D8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073DF5">
        <w:rPr>
          <w:rFonts w:ascii="Times New Roman" w:hAnsi="Times New Roman"/>
          <w:sz w:val="24"/>
          <w:szCs w:val="24"/>
        </w:rPr>
        <w:t xml:space="preserve"> поселения и размещению на официальном сайте </w:t>
      </w:r>
      <w:r w:rsidR="00A31D8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073DF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D6AC5" w:rsidRPr="00073DF5" w:rsidRDefault="00ED6AC5" w:rsidP="00ED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DF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ED6AC5" w:rsidRPr="00073DF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ED6AC5" w:rsidRPr="00073DF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A31D89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073DF5">
        <w:rPr>
          <w:bCs/>
        </w:rPr>
        <w:t xml:space="preserve">Глава </w:t>
      </w:r>
      <w:r w:rsidR="00A31D89">
        <w:rPr>
          <w:bCs/>
        </w:rPr>
        <w:t>Новотельбинского</w:t>
      </w:r>
      <w:r w:rsidRPr="00073DF5">
        <w:rPr>
          <w:bCs/>
        </w:rPr>
        <w:t xml:space="preserve"> </w:t>
      </w:r>
    </w:p>
    <w:p w:rsidR="00ED6AC5" w:rsidRPr="00073DF5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73DF5">
        <w:rPr>
          <w:bCs/>
        </w:rPr>
        <w:t xml:space="preserve">муниципального </w:t>
      </w:r>
      <w:proofErr w:type="gramStart"/>
      <w:r w:rsidRPr="00073DF5">
        <w:rPr>
          <w:bCs/>
        </w:rPr>
        <w:t>образования</w:t>
      </w:r>
      <w:r>
        <w:rPr>
          <w:bCs/>
        </w:rPr>
        <w:t>:</w:t>
      </w:r>
      <w:r w:rsidRPr="00073DF5">
        <w:rPr>
          <w:bCs/>
        </w:rPr>
        <w:t xml:space="preserve">   </w:t>
      </w:r>
      <w:proofErr w:type="gramEnd"/>
      <w:r w:rsidRPr="00073DF5">
        <w:rPr>
          <w:bCs/>
        </w:rPr>
        <w:t xml:space="preserve">                   </w:t>
      </w:r>
      <w:r>
        <w:rPr>
          <w:bCs/>
        </w:rPr>
        <w:t xml:space="preserve">   </w:t>
      </w:r>
      <w:r w:rsidRPr="00073DF5">
        <w:rPr>
          <w:bCs/>
        </w:rPr>
        <w:t xml:space="preserve">         </w:t>
      </w:r>
      <w:r w:rsidR="00A31D89">
        <w:rPr>
          <w:bCs/>
        </w:rPr>
        <w:t>Н.М. Толстихина</w:t>
      </w:r>
    </w:p>
    <w:p w:rsidR="00ED6AC5" w:rsidRPr="00073DF5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4070D" w:rsidRDefault="00ED6AC5" w:rsidP="00ED6AC5">
      <w:pPr>
        <w:pStyle w:val="ConsPlusNormal"/>
        <w:jc w:val="both"/>
      </w:pPr>
    </w:p>
    <w:p w:rsidR="00ED6AC5" w:rsidRPr="00B4070D" w:rsidRDefault="00ED6AC5" w:rsidP="00ED6AC5">
      <w:pPr>
        <w:pStyle w:val="ConsPlusNormal"/>
        <w:jc w:val="both"/>
      </w:pPr>
    </w:p>
    <w:p w:rsidR="00ED6AC5" w:rsidRPr="00B4070D" w:rsidRDefault="00ED6AC5" w:rsidP="00ED6AC5">
      <w:pPr>
        <w:pStyle w:val="ConsPlusNormal"/>
        <w:jc w:val="both"/>
      </w:pPr>
    </w:p>
    <w:p w:rsidR="00ED6AC5" w:rsidRPr="00B4070D" w:rsidRDefault="00ED6AC5" w:rsidP="00ED6AC5">
      <w:pPr>
        <w:pStyle w:val="ConsPlusNormal"/>
        <w:jc w:val="both"/>
      </w:pPr>
    </w:p>
    <w:p w:rsidR="00ED6AC5" w:rsidRDefault="00ED6AC5" w:rsidP="00ED6AC5">
      <w:pPr>
        <w:pStyle w:val="ConsPlusNormal"/>
        <w:jc w:val="right"/>
        <w:outlineLvl w:val="0"/>
      </w:pPr>
      <w:bookmarkStart w:id="1" w:name="Par25"/>
      <w:bookmarkEnd w:id="1"/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</w:pPr>
    </w:p>
    <w:p w:rsidR="00ED6AC5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D6AC5" w:rsidRPr="00073DF5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D6AC5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F5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ED6AC5" w:rsidRPr="00073DF5" w:rsidRDefault="00A31D89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r w:rsidR="00ED6AC5">
        <w:rPr>
          <w:rFonts w:ascii="Times New Roman" w:hAnsi="Times New Roman" w:cs="Times New Roman"/>
          <w:sz w:val="24"/>
          <w:szCs w:val="24"/>
        </w:rPr>
        <w:t>ского</w:t>
      </w:r>
      <w:r w:rsidR="00ED6AC5" w:rsidRPr="00073D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6AC5" w:rsidRPr="00073DF5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от «</w:t>
      </w:r>
      <w:r w:rsidR="00A31D89">
        <w:rPr>
          <w:rFonts w:ascii="Times New Roman" w:hAnsi="Times New Roman" w:cs="Times New Roman"/>
          <w:sz w:val="24"/>
          <w:szCs w:val="24"/>
        </w:rPr>
        <w:t>21</w:t>
      </w:r>
      <w:r w:rsidRPr="00073D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D89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073DF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73DF5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073DF5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073DF5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1D89">
        <w:rPr>
          <w:rFonts w:ascii="Times New Roman" w:hAnsi="Times New Roman" w:cs="Times New Roman"/>
          <w:sz w:val="24"/>
          <w:szCs w:val="24"/>
        </w:rPr>
        <w:t>09</w:t>
      </w:r>
    </w:p>
    <w:p w:rsidR="00ED6AC5" w:rsidRPr="00073DF5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073DF5" w:rsidRDefault="00ED6AC5" w:rsidP="00ED6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073DF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D6AC5" w:rsidRPr="00073DF5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A31D89">
        <w:rPr>
          <w:rFonts w:ascii="Times New Roman" w:hAnsi="Times New Roman" w:cs="Times New Roman"/>
          <w:b/>
          <w:bCs/>
          <w:sz w:val="24"/>
          <w:szCs w:val="24"/>
        </w:rPr>
        <w:t>НОВОТЕЛЬБИН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073D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ED6AC5" w:rsidRPr="00073DF5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</w:p>
    <w:p w:rsidR="00ED6AC5" w:rsidRPr="00073DF5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D6AC5" w:rsidRPr="00073DF5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5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073DF5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073D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ED6AC5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целевой показатель - состояние, характеризующее достижение конкретной цели (выполнение задачи), как в абсолютных, так и относительных единицах измерения;</w:t>
      </w:r>
    </w:p>
    <w:p w:rsidR="00ED6AC5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r w:rsidR="00A31D89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E87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муниципальная программа) - соотношение </w:t>
      </w:r>
      <w:proofErr w:type="gramStart"/>
      <w:r w:rsidRPr="00E8723F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E8723F">
        <w:rPr>
          <w:rFonts w:ascii="Times New Roman" w:hAnsi="Times New Roman" w:cs="Times New Roman"/>
          <w:sz w:val="24"/>
          <w:szCs w:val="24"/>
        </w:rPr>
        <w:t xml:space="preserve"> полученных при реализации муниципальной программы с финансовыми ресурсами (бюджетные и внебюджетные источники), направленными на достижение цели и решение задач, выполнение подпрограмм и основных мероприятий муниципальной программы;</w:t>
      </w:r>
    </w:p>
    <w:p w:rsidR="00ED6AC5" w:rsidRPr="00E8723F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основные параметры муниципальной программы - цели, задачи, целевые показатели муниципальной программы, а также утвержденный Решением Думы </w:t>
      </w:r>
      <w:r w:rsidR="00A31D89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E87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местном бюджете на текущий финансовый год и плановый период объем бюджетных ассигнований на реализацию муниципальной программы.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073DF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Порядком исходя из принципов:</w:t>
      </w:r>
    </w:p>
    <w:p w:rsidR="00ED6AC5" w:rsidRPr="00073DF5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точности и достоверности информации, используемой в процессе оценивания;</w:t>
      </w:r>
    </w:p>
    <w:p w:rsidR="00ED6AC5" w:rsidRPr="00073DF5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компетентности исполнения оценки;</w:t>
      </w:r>
    </w:p>
    <w:p w:rsidR="00ED6AC5" w:rsidRPr="00073DF5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честности и открытости процесса оценивания, равенства в доступе к информации;</w:t>
      </w:r>
    </w:p>
    <w:p w:rsidR="00ED6AC5" w:rsidRPr="00073DF5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приоритетности прав и законных интересов граждан и организаций.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4. Проведение регулярной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073DF5">
        <w:rPr>
          <w:rFonts w:ascii="Times New Roman" w:hAnsi="Times New Roman" w:cs="Times New Roman"/>
          <w:sz w:val="24"/>
          <w:szCs w:val="24"/>
        </w:rPr>
        <w:t xml:space="preserve">, оценки их вклада в решение вопросов социально-экономического развития </w:t>
      </w:r>
      <w:r w:rsidR="00A31D89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073DF5">
        <w:rPr>
          <w:rFonts w:ascii="Times New Roman" w:hAnsi="Times New Roman" w:cs="Times New Roman"/>
          <w:sz w:val="24"/>
          <w:szCs w:val="24"/>
        </w:rPr>
        <w:t xml:space="preserve"> осуществляется в целях контроля за ходом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073DF5">
        <w:rPr>
          <w:rFonts w:ascii="Times New Roman" w:hAnsi="Times New Roman" w:cs="Times New Roman"/>
          <w:sz w:val="24"/>
          <w:szCs w:val="24"/>
        </w:rPr>
        <w:t xml:space="preserve"> с учетом возможности их корректировки или досрочного прекращения, а также установления ответственности должностных лиц в случае неэффективной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5. Основные задачи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ED6AC5" w:rsidRPr="00073DF5" w:rsidRDefault="00ED6AC5" w:rsidP="00ED6AC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обеспечить эффективное использование и распределение бюджетных ассигнований 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D6AC5" w:rsidRDefault="00ED6AC5" w:rsidP="00ED6AC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базу информации </w:t>
      </w:r>
      <w:r w:rsidRPr="00073DF5">
        <w:rPr>
          <w:rFonts w:ascii="Times New Roman" w:hAnsi="Times New Roman" w:cs="Times New Roman"/>
          <w:sz w:val="24"/>
          <w:szCs w:val="24"/>
        </w:rPr>
        <w:t xml:space="preserve">для формирования и корректировки основных </w:t>
      </w:r>
      <w:r w:rsidRPr="00073DF5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программ, а также прекращения их реализации;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6.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 направлена на:</w:t>
      </w:r>
    </w:p>
    <w:p w:rsidR="00ED6AC5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определение наиболее и наименее эффективных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D6AC5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оценку степени достижения целей, задач и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8723F">
        <w:rPr>
          <w:rFonts w:ascii="Times New Roman" w:hAnsi="Times New Roman" w:cs="Times New Roman"/>
          <w:sz w:val="24"/>
          <w:szCs w:val="24"/>
        </w:rPr>
        <w:t>программ;</w:t>
      </w:r>
    </w:p>
    <w:p w:rsidR="00ED6AC5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оценку степени влияния динамики целевых показателей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8723F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D6AC5" w:rsidRPr="00E8723F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прогноз возможных последствий и степени достижения ожидаемых конечных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E8723F">
        <w:rPr>
          <w:rFonts w:ascii="Times New Roman" w:hAnsi="Times New Roman" w:cs="Times New Roman"/>
          <w:sz w:val="24"/>
          <w:szCs w:val="24"/>
        </w:rPr>
        <w:t>х программ.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7. Оценка эффективности реализации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 направлена на:</w:t>
      </w:r>
    </w:p>
    <w:p w:rsidR="00ED6AC5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определение наиболее и наименее эффективных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D6AC5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оценку степени достижения целей, задач и целевых показателей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8723F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D6AC5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оценку степени влияния динамики целевых показателей на достижение целей и решение задач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8723F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D6AC5" w:rsidRPr="00E8723F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3F">
        <w:rPr>
          <w:rFonts w:ascii="Times New Roman" w:hAnsi="Times New Roman" w:cs="Times New Roman"/>
          <w:sz w:val="24"/>
          <w:szCs w:val="24"/>
        </w:rPr>
        <w:t xml:space="preserve">прогноз возможных последствий и степени достижения ожидаемых конечных результатов реализации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8723F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073DF5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ED6AC5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определение наиболее и наименее эффективных </w:t>
      </w:r>
      <w:r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073DF5">
        <w:rPr>
          <w:rFonts w:ascii="Times New Roman" w:hAnsi="Times New Roman" w:cs="Times New Roman"/>
          <w:sz w:val="24"/>
          <w:szCs w:val="24"/>
        </w:rPr>
        <w:t>;</w:t>
      </w:r>
    </w:p>
    <w:p w:rsidR="00ED6AC5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768">
        <w:rPr>
          <w:rFonts w:ascii="Times New Roman" w:hAnsi="Times New Roman" w:cs="Times New Roman"/>
          <w:sz w:val="24"/>
          <w:szCs w:val="24"/>
        </w:rPr>
        <w:t xml:space="preserve">оценку степени достижения целей, задач (при наличии) и целевых показателей </w:t>
      </w:r>
      <w:r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074768">
        <w:rPr>
          <w:rFonts w:ascii="Times New Roman" w:hAnsi="Times New Roman" w:cs="Times New Roman"/>
          <w:sz w:val="24"/>
          <w:szCs w:val="24"/>
        </w:rPr>
        <w:t>;</w:t>
      </w:r>
    </w:p>
    <w:p w:rsidR="00ED6AC5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768">
        <w:rPr>
          <w:rFonts w:ascii="Times New Roman" w:hAnsi="Times New Roman" w:cs="Times New Roman"/>
          <w:sz w:val="24"/>
          <w:szCs w:val="24"/>
        </w:rPr>
        <w:t xml:space="preserve">оценку степени влияния динамики целевых показателей на достижение целей и решение задач (при наличии) </w:t>
      </w:r>
      <w:r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074768">
        <w:rPr>
          <w:rFonts w:ascii="Times New Roman" w:hAnsi="Times New Roman" w:cs="Times New Roman"/>
          <w:sz w:val="24"/>
          <w:szCs w:val="24"/>
        </w:rPr>
        <w:t>;</w:t>
      </w:r>
    </w:p>
    <w:p w:rsidR="00ED6AC5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768">
        <w:rPr>
          <w:rFonts w:ascii="Times New Roman" w:hAnsi="Times New Roman" w:cs="Times New Roman"/>
          <w:sz w:val="24"/>
          <w:szCs w:val="24"/>
        </w:rPr>
        <w:t xml:space="preserve">оценку степени соответствия запланированного уровня затрат на реализацию </w:t>
      </w:r>
      <w:r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074768">
        <w:rPr>
          <w:rFonts w:ascii="Times New Roman" w:hAnsi="Times New Roman" w:cs="Times New Roman"/>
          <w:sz w:val="24"/>
          <w:szCs w:val="24"/>
        </w:rPr>
        <w:t xml:space="preserve"> к фактическому уровню;</w:t>
      </w:r>
    </w:p>
    <w:p w:rsidR="00ED6AC5" w:rsidRPr="00074768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768">
        <w:rPr>
          <w:rFonts w:ascii="Times New Roman" w:hAnsi="Times New Roman" w:cs="Times New Roman"/>
          <w:sz w:val="24"/>
          <w:szCs w:val="24"/>
        </w:rPr>
        <w:t xml:space="preserve">прогноз возможных последствий и степени достижения ожидаемых конечных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074768">
        <w:rPr>
          <w:rFonts w:ascii="Times New Roman" w:hAnsi="Times New Roman" w:cs="Times New Roman"/>
          <w:sz w:val="24"/>
          <w:szCs w:val="24"/>
        </w:rPr>
        <w:t>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073DF5">
        <w:rPr>
          <w:rFonts w:ascii="Times New Roman" w:hAnsi="Times New Roman" w:cs="Times New Roman"/>
          <w:sz w:val="24"/>
          <w:szCs w:val="24"/>
        </w:rPr>
        <w:t xml:space="preserve"> за проведение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073DF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31D89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073DF5">
        <w:rPr>
          <w:rFonts w:ascii="Times New Roman" w:hAnsi="Times New Roman" w:cs="Times New Roman"/>
          <w:sz w:val="24"/>
          <w:szCs w:val="24"/>
        </w:rPr>
        <w:t>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31D89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проводит ежегодную и промежуточную оценку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D6AC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Ежегодная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 проводится в обязательном порядке на основании годовых отчетов об исполнении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программ, предоставляемых </w:t>
      </w:r>
      <w:r w:rsidRPr="00073DF5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в администрацию </w:t>
      </w:r>
      <w:r w:rsidR="00A855CE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ED6AC5" w:rsidRPr="00073DF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 xml:space="preserve">Промежуточная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 проводится в целях исполнения поручений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855CE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Думы </w:t>
      </w:r>
      <w:r w:rsidR="00A855CE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073DF5">
        <w:rPr>
          <w:rFonts w:ascii="Times New Roman" w:hAnsi="Times New Roman" w:cs="Times New Roman"/>
          <w:sz w:val="24"/>
          <w:szCs w:val="24"/>
        </w:rPr>
        <w:t xml:space="preserve"> либо по решению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55CE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073DF5">
        <w:rPr>
          <w:rFonts w:ascii="Times New Roman" w:hAnsi="Times New Roman" w:cs="Times New Roman"/>
          <w:sz w:val="24"/>
          <w:szCs w:val="24"/>
        </w:rPr>
        <w:t xml:space="preserve"> на основании отчетов об исполнении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3DF5">
        <w:rPr>
          <w:rFonts w:ascii="Times New Roman" w:hAnsi="Times New Roman" w:cs="Times New Roman"/>
          <w:sz w:val="24"/>
          <w:szCs w:val="24"/>
        </w:rPr>
        <w:t xml:space="preserve"> программ, предоставляемых ответственными исполнителями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073D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855CE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ED6AC5" w:rsidRPr="00B4070D" w:rsidRDefault="00ED6AC5" w:rsidP="00ED6AC5">
      <w:pPr>
        <w:pStyle w:val="ConsPlusNormal"/>
        <w:jc w:val="both"/>
      </w:pPr>
    </w:p>
    <w:p w:rsidR="00ED6AC5" w:rsidRPr="00D17E64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D17E64">
        <w:rPr>
          <w:rFonts w:ascii="Times New Roman" w:hAnsi="Times New Roman" w:cs="Times New Roman"/>
          <w:sz w:val="24"/>
          <w:szCs w:val="24"/>
        </w:rPr>
        <w:t>Глава 2. ПОРЯДОК ПРОВЕДЕНИЯ ЕЖЕГОДНОЙ ОЦЕНКИ ЭФФЕКТИВНОСТИ</w:t>
      </w: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11. Ежегодная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E6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путем расчета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через определение эффективности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17E64">
        <w:rPr>
          <w:rFonts w:ascii="Times New Roman" w:hAnsi="Times New Roman" w:cs="Times New Roman"/>
          <w:sz w:val="24"/>
          <w:szCs w:val="24"/>
        </w:rPr>
        <w:t>и основных мероприятий, с учетом объема финансовых ресурсов, предусмотренных на их реализацию.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12. Расчет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 осуществляется в три этапа.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расчет эффективности реализации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D6AC5" w:rsidRPr="007269D2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рассчитывается с учетом математических допущений </w:t>
      </w:r>
      <w:hyperlink w:anchor="Par163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(прилагаются)</w:t>
        </w:r>
      </w:hyperlink>
      <w:r w:rsidRPr="00D17E64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ar81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формуле (1)</w:t>
        </w:r>
      </w:hyperlink>
      <w:r w:rsidRPr="00D17E64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4070D" w:rsidRDefault="00ED6AC5" w:rsidP="00ED6AC5">
      <w:pPr>
        <w:pStyle w:val="ConsPlusNormal"/>
        <w:jc w:val="center"/>
      </w:pPr>
      <w:bookmarkStart w:id="5" w:name="Par81"/>
      <w:bookmarkEnd w:id="5"/>
      <w:r w:rsidRPr="00B4070D">
        <w:rPr>
          <w:noProof/>
        </w:rPr>
        <w:drawing>
          <wp:inline distT="0" distB="0" distL="0" distR="0">
            <wp:extent cx="3038475" cy="9144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эффективность реализации m-й основного ме</w:t>
      </w:r>
      <w:r>
        <w:rPr>
          <w:rFonts w:ascii="Times New Roman" w:hAnsi="Times New Roman" w:cs="Times New Roman"/>
          <w:sz w:val="24"/>
          <w:szCs w:val="24"/>
        </w:rPr>
        <w:t>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- плановое значение регрессирующего ("чем меньше, тем лучше") целевого показателя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k - количество целевых показателей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47725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фактические затраты на реализацию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 программы</w:t>
      </w:r>
      <w:r w:rsidRPr="00D17E64">
        <w:rPr>
          <w:rFonts w:ascii="Times New Roman" w:hAnsi="Times New Roman" w:cs="Times New Roman"/>
          <w:sz w:val="24"/>
          <w:szCs w:val="24"/>
        </w:rPr>
        <w:t>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714375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плановые затраты на реализацию m-й основного мероприятия.</w:t>
      </w:r>
    </w:p>
    <w:p w:rsidR="00ED6AC5" w:rsidRPr="007269D2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расчет эффективности реализации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hyperlink w:anchor="Par94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формуле (2)</w:t>
        </w:r>
      </w:hyperlink>
      <w:r w:rsidRPr="00D17E64">
        <w:rPr>
          <w:rFonts w:ascii="Times New Roman" w:hAnsi="Times New Roman" w:cs="Times New Roman"/>
          <w:sz w:val="24"/>
          <w:szCs w:val="24"/>
        </w:rPr>
        <w:t>:</w:t>
      </w:r>
    </w:p>
    <w:p w:rsidR="00ED6AC5" w:rsidRPr="007269D2" w:rsidRDefault="00ED6AC5" w:rsidP="00ED6AC5">
      <w:pPr>
        <w:pStyle w:val="ConsPlusNormal"/>
        <w:jc w:val="center"/>
      </w:pPr>
      <w:bookmarkStart w:id="6" w:name="Par94"/>
      <w:bookmarkEnd w:id="6"/>
      <w:r w:rsidRPr="00B4070D">
        <w:rPr>
          <w:noProof/>
        </w:rPr>
        <w:drawing>
          <wp:inline distT="0" distB="0" distL="0" distR="0">
            <wp:extent cx="2638425" cy="428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4857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эффективность реализации n-й подпрограммы;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эффективность реализации m-й </w:t>
      </w:r>
      <w:r>
        <w:rPr>
          <w:rFonts w:ascii="Times New Roman" w:hAnsi="Times New Roman" w:cs="Times New Roman"/>
          <w:sz w:val="24"/>
          <w:szCs w:val="24"/>
        </w:rPr>
        <w:t>основного мероприятия, входящего</w:t>
      </w:r>
      <w:r w:rsidRPr="00D17E64">
        <w:rPr>
          <w:rFonts w:ascii="Times New Roman" w:hAnsi="Times New Roman" w:cs="Times New Roman"/>
          <w:sz w:val="24"/>
          <w:szCs w:val="24"/>
        </w:rPr>
        <w:t xml:space="preserve"> в n-ю подпрограмму;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k - количество </w:t>
      </w: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D17E64">
        <w:rPr>
          <w:rFonts w:ascii="Times New Roman" w:hAnsi="Times New Roman" w:cs="Times New Roman"/>
          <w:sz w:val="24"/>
          <w:szCs w:val="24"/>
        </w:rPr>
        <w:t>, входящих в n-ю подпрограмму;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эффективности реализации n-й подпрограммы.</w:t>
      </w:r>
    </w:p>
    <w:p w:rsidR="00ED6AC5" w:rsidRPr="007269D2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Корректирующий коэффициент эффективности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17E64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w:anchor="Par103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формуле (3)</w:t>
        </w:r>
      </w:hyperlink>
      <w:r w:rsidRPr="00D17E64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4070D" w:rsidRDefault="00ED6AC5" w:rsidP="00ED6AC5">
      <w:pPr>
        <w:pStyle w:val="ConsPlusNormal"/>
        <w:jc w:val="center"/>
      </w:pPr>
      <w:bookmarkStart w:id="7" w:name="Par103"/>
      <w:bookmarkEnd w:id="7"/>
      <w:r w:rsidRPr="00B4070D">
        <w:rPr>
          <w:noProof/>
        </w:rPr>
        <w:drawing>
          <wp:inline distT="0" distB="0" distL="0" distR="0">
            <wp:extent cx="2324100" cy="4667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подпрограммы;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429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подпрограммы;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подпрограммы;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целевого показателя подпрограммы;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k - количество целевых показателей подпрограммы.</w:t>
      </w:r>
    </w:p>
    <w:p w:rsidR="00ED6AC5" w:rsidRPr="007269D2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расчет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hyperlink w:anchor="Par113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формуле (4)</w:t>
        </w:r>
      </w:hyperlink>
      <w:r w:rsidRPr="00D17E64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4070D" w:rsidRDefault="00ED6AC5" w:rsidP="00ED6AC5">
      <w:pPr>
        <w:pStyle w:val="ConsPlusNormal"/>
        <w:jc w:val="center"/>
      </w:pPr>
      <w:bookmarkStart w:id="8" w:name="Par113"/>
      <w:bookmarkEnd w:id="8"/>
      <w:r w:rsidRPr="00B4070D">
        <w:rPr>
          <w:noProof/>
        </w:rPr>
        <w:drawing>
          <wp:inline distT="0" distB="0" distL="0" distR="0">
            <wp:extent cx="2676525" cy="428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эффективность реализации g-й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485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эффективность реализации n-й подпрограммы, входящей в g-ю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17E64">
        <w:rPr>
          <w:rFonts w:ascii="Times New Roman" w:hAnsi="Times New Roman" w:cs="Times New Roman"/>
          <w:sz w:val="24"/>
          <w:szCs w:val="24"/>
        </w:rPr>
        <w:t>программу;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k - количество подпрограмм, входящих в g-ю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2952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D6AC5" w:rsidRPr="007269D2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Корректирующий коэффициент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17E64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w:anchor="Par122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формуле (5)</w:t>
        </w:r>
      </w:hyperlink>
      <w:r w:rsidRPr="00D17E64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4070D" w:rsidRDefault="00ED6AC5" w:rsidP="00ED6AC5">
      <w:pPr>
        <w:pStyle w:val="ConsPlusNormal"/>
        <w:jc w:val="center"/>
      </w:pPr>
      <w:bookmarkStart w:id="9" w:name="Par122"/>
      <w:bookmarkEnd w:id="9"/>
      <w:r w:rsidRPr="00B4070D">
        <w:rPr>
          <w:noProof/>
        </w:rPr>
        <w:drawing>
          <wp:inline distT="0" distB="0" distL="0" distR="0">
            <wp:extent cx="2314575" cy="466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D17E64">
        <w:rPr>
          <w:rFonts w:ascii="Times New Roman" w:hAnsi="Times New Roman" w:cs="Times New Roman"/>
          <w:sz w:val="24"/>
          <w:szCs w:val="24"/>
        </w:rPr>
        <w:t>й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целевого показателя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k - количество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D6AC5" w:rsidRPr="00B4070D" w:rsidRDefault="00ED6AC5" w:rsidP="00ED6AC5">
      <w:pPr>
        <w:pStyle w:val="ConsPlusNormal"/>
        <w:jc w:val="both"/>
      </w:pPr>
    </w:p>
    <w:p w:rsidR="00ED6AC5" w:rsidRPr="00D17E64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1"/>
      <w:bookmarkEnd w:id="10"/>
      <w:r w:rsidRPr="00D17E64">
        <w:rPr>
          <w:rFonts w:ascii="Times New Roman" w:hAnsi="Times New Roman" w:cs="Times New Roman"/>
          <w:sz w:val="24"/>
          <w:szCs w:val="24"/>
        </w:rPr>
        <w:t>Глава 3. ПОРЯДОК ПРОВЕДЕНИЯ ПРОМЕЖУТОЧНОЙ ОЦЕНКИ</w:t>
      </w: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13. Промежуточная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осуществляется путем расчета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через определение эффективности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программы, с учетом объема финансовых ресурсов, предусмотренных на их реализацию.</w:t>
      </w:r>
    </w:p>
    <w:p w:rsidR="00ED6AC5" w:rsidRPr="00B4070D" w:rsidRDefault="00ED6AC5" w:rsidP="00ED6AC5">
      <w:pPr>
        <w:pStyle w:val="ConsPlusNormal"/>
        <w:ind w:firstLine="540"/>
        <w:jc w:val="both"/>
      </w:pPr>
      <w:r w:rsidRPr="00D17E64">
        <w:rPr>
          <w:rFonts w:ascii="Times New Roman" w:hAnsi="Times New Roman" w:cs="Times New Roman"/>
          <w:sz w:val="24"/>
          <w:szCs w:val="24"/>
        </w:rPr>
        <w:t xml:space="preserve">14. Эффективность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17E64">
        <w:rPr>
          <w:rFonts w:ascii="Times New Roman" w:hAnsi="Times New Roman" w:cs="Times New Roman"/>
          <w:sz w:val="24"/>
          <w:szCs w:val="24"/>
        </w:rPr>
        <w:t xml:space="preserve"> к настоящему Порядку, по следующей </w:t>
      </w:r>
      <w:hyperlink w:anchor="Par137" w:tooltip="Ссылка на текущий документ" w:history="1">
        <w:r w:rsidRPr="00D17E64">
          <w:rPr>
            <w:rFonts w:ascii="Times New Roman" w:hAnsi="Times New Roman" w:cs="Times New Roman"/>
            <w:sz w:val="24"/>
            <w:szCs w:val="24"/>
          </w:rPr>
          <w:t>формуле (6)</w:t>
        </w:r>
      </w:hyperlink>
      <w:r w:rsidRPr="00B4070D">
        <w:t>:</w:t>
      </w:r>
    </w:p>
    <w:p w:rsidR="00ED6AC5" w:rsidRPr="00B4070D" w:rsidRDefault="00ED6AC5" w:rsidP="00ED6AC5">
      <w:pPr>
        <w:pStyle w:val="ConsPlusNormal"/>
        <w:jc w:val="center"/>
      </w:pPr>
      <w:bookmarkStart w:id="11" w:name="Par137"/>
      <w:bookmarkEnd w:id="11"/>
      <w:r w:rsidRPr="00B4070D">
        <w:rPr>
          <w:noProof/>
        </w:rPr>
        <w:lastRenderedPageBreak/>
        <w:drawing>
          <wp:inline distT="0" distB="0" distL="0" distR="0">
            <wp:extent cx="3000375" cy="876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эффективность реализации g-й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7E64">
        <w:rPr>
          <w:rFonts w:ascii="Times New Roman" w:hAnsi="Times New Roman" w:cs="Times New Roman"/>
          <w:sz w:val="24"/>
          <w:szCs w:val="24"/>
        </w:rPr>
        <w:t>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показателя объема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показателя объема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показателя объема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показателя объема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k - количество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523875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фактические затраты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- плановые затраты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Приложение</w:t>
      </w:r>
    </w:p>
    <w:p w:rsidR="00ED6AC5" w:rsidRPr="00D17E64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E64">
        <w:rPr>
          <w:rFonts w:ascii="Times New Roman" w:hAnsi="Times New Roman" w:cs="Times New Roman"/>
          <w:sz w:val="24"/>
          <w:szCs w:val="24"/>
        </w:rPr>
        <w:t>проведения оценки эффективности</w:t>
      </w:r>
    </w:p>
    <w:p w:rsidR="00ED6AC5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</w:p>
    <w:p w:rsidR="00ED6AC5" w:rsidRPr="00D17E64" w:rsidRDefault="00A855CE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r w:rsidR="00ED6AC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D17E64">
        <w:rPr>
          <w:rFonts w:ascii="Times New Roman" w:hAnsi="Times New Roman" w:cs="Times New Roman"/>
          <w:sz w:val="24"/>
          <w:szCs w:val="24"/>
        </w:rPr>
        <w:t>МАТЕМАТИЧЕСКИЕ ДОПУЩЕНИЯ ПРИ РАСЧЕТЕ ЭФФЕКТИВНОСТИ</w:t>
      </w:r>
    </w:p>
    <w:p w:rsidR="00ED6AC5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ED6AC5" w:rsidRPr="00D17E64" w:rsidRDefault="00A855CE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r w:rsidR="00ED6AC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958"/>
        <w:gridCol w:w="4554"/>
      </w:tblGrid>
      <w:tr w:rsidR="00ED6AC5" w:rsidRPr="00D17E64" w:rsidTr="00E91258">
        <w:trPr>
          <w:trHeight w:val="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Допущение</w:t>
            </w:r>
          </w:p>
        </w:tc>
      </w:tr>
      <w:tr w:rsidR="00ED6AC5" w:rsidRPr="00D17E64" w:rsidTr="00E91258">
        <w:trPr>
          <w:trHeight w:val="10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Плановое и фактическое значение регрессирующего ("чем меньше, тем лучше") целевого показателя равно "0"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D17E64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581025" cy="4667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</w:t>
            </w:r>
            <w:proofErr w:type="gramEnd"/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равным "1"</w:t>
            </w:r>
          </w:p>
        </w:tc>
      </w:tr>
      <w:tr w:rsidR="00ED6AC5" w:rsidRPr="00D17E64" w:rsidTr="00E91258">
        <w:trPr>
          <w:trHeight w:val="10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меньше "0"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ED6AC5" w:rsidRPr="00D17E64" w:rsidTr="00E91258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не имеет количественного выражения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ED6AC5" w:rsidRPr="00D17E64" w:rsidTr="00E91258">
        <w:trPr>
          <w:trHeight w:val="20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идентичен целевому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подпрограмму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ED6AC5" w:rsidRPr="00D17E64" w:rsidTr="00E91258">
        <w:trPr>
          <w:trHeight w:val="1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идентичен целевому показателю подпрограммы,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входящей в муниципальную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ED6AC5" w:rsidRPr="00D17E64" w:rsidTr="00E91258">
        <w:trPr>
          <w:trHeight w:val="19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идентичны целевым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подпрограмму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эффективности реализации подпрограммы (</w:t>
            </w:r>
            <w:r w:rsidRPr="00D17E64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) признается равным "1"</w:t>
            </w:r>
          </w:p>
        </w:tc>
      </w:tr>
      <w:tr w:rsidR="00ED6AC5" w:rsidRPr="00D17E64" w:rsidTr="00E91258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идентичны целевым показателям подпрограмм,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r w:rsidR="00A855CE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r w:rsidRPr="00D17E64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2952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) признается равным "1"</w:t>
            </w:r>
          </w:p>
        </w:tc>
      </w:tr>
    </w:tbl>
    <w:p w:rsidR="00ED6AC5" w:rsidRDefault="00ED6AC5" w:rsidP="00ED6A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95"/>
      <w:bookmarkEnd w:id="13"/>
    </w:p>
    <w:p w:rsidR="00ED6AC5" w:rsidRPr="00D17E64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ED6AC5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ED6AC5" w:rsidRDefault="00A855CE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r w:rsidR="00ED6AC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ED6AC5" w:rsidRPr="00D17E64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855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55CE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№ 1</w:t>
      </w:r>
      <w:r w:rsidR="00A855CE">
        <w:rPr>
          <w:rFonts w:ascii="Times New Roman" w:hAnsi="Times New Roman" w:cs="Times New Roman"/>
          <w:sz w:val="24"/>
          <w:szCs w:val="24"/>
        </w:rPr>
        <w:t>09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D17E64">
        <w:rPr>
          <w:rFonts w:ascii="Times New Roman" w:hAnsi="Times New Roman" w:cs="Times New Roman"/>
          <w:sz w:val="24"/>
          <w:szCs w:val="24"/>
        </w:rPr>
        <w:t>КРИТЕРИИ</w:t>
      </w: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855CE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lastRenderedPageBreak/>
        <w:t xml:space="preserve">Ежегодная (промежуточная)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 осуществляется по следующим критериям:</w:t>
      </w:r>
    </w:p>
    <w:p w:rsidR="00ED6AC5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признается высокой, в случае если значение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E6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D17E64">
        <w:rPr>
          <w:rFonts w:ascii="Times New Roman" w:hAnsi="Times New Roman" w:cs="Times New Roman"/>
          <w:sz w:val="24"/>
          <w:szCs w:val="24"/>
        </w:rPr>
        <w:t xml:space="preserve"> менее 90%;</w:t>
      </w:r>
    </w:p>
    <w:p w:rsidR="00ED6AC5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6F3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программы признается средней, в случае если значение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6F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3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0806F3">
        <w:rPr>
          <w:rFonts w:ascii="Times New Roman" w:hAnsi="Times New Roman" w:cs="Times New Roman"/>
          <w:sz w:val="24"/>
          <w:szCs w:val="24"/>
        </w:rPr>
        <w:t xml:space="preserve"> менее 80%;</w:t>
      </w:r>
    </w:p>
    <w:p w:rsidR="00ED6AC5" w:rsidRPr="000806F3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6F3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программы признается удовлетворительной, в случае если значение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6F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3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0806F3">
        <w:rPr>
          <w:rFonts w:ascii="Times New Roman" w:hAnsi="Times New Roman" w:cs="Times New Roman"/>
          <w:sz w:val="24"/>
          <w:szCs w:val="24"/>
        </w:rPr>
        <w:t xml:space="preserve"> менее 70%.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признается неудовлетворительной.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80E" w:rsidRDefault="00A855CE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44A5"/>
    <w:multiLevelType w:val="hybridMultilevel"/>
    <w:tmpl w:val="61B4A864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455D89"/>
    <w:multiLevelType w:val="hybridMultilevel"/>
    <w:tmpl w:val="255461C8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5B5100"/>
    <w:multiLevelType w:val="hybridMultilevel"/>
    <w:tmpl w:val="2604D25C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F010149"/>
    <w:multiLevelType w:val="hybridMultilevel"/>
    <w:tmpl w:val="DE142CF6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B455984"/>
    <w:multiLevelType w:val="hybridMultilevel"/>
    <w:tmpl w:val="ACFEFBB4"/>
    <w:lvl w:ilvl="0" w:tplc="0388BD0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58467B3"/>
    <w:multiLevelType w:val="hybridMultilevel"/>
    <w:tmpl w:val="0B40D6EA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E41"/>
    <w:multiLevelType w:val="hybridMultilevel"/>
    <w:tmpl w:val="03181664"/>
    <w:lvl w:ilvl="0" w:tplc="0388BD0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5"/>
    <w:rsid w:val="004F74DF"/>
    <w:rsid w:val="007D2A93"/>
    <w:rsid w:val="00A31D89"/>
    <w:rsid w:val="00A855CE"/>
    <w:rsid w:val="00E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2C43-DA72-426A-B4C2-8727F44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D8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31D8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A31D89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D6AC5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31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D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1D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hyperlink" Target="consultantplus://offline/ref=B941A53773FA4E63EF18E028AEDEABC970A28A749B72E3AF6B9553D969AB537959CF6C25FD4953C5m3s6H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2016-12-28T08:11:00Z</dcterms:created>
  <dcterms:modified xsi:type="dcterms:W3CDTF">2016-12-28T08:39:00Z</dcterms:modified>
</cp:coreProperties>
</file>